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СЦЕНАРИЙ ТОРЖЕСТВЕННОГО МЕРОПРИЯТИЯ С ВОЗЛОЖЕНИЕМ ЦВЕТОВ "ЗВЕЗД</w:t>
      </w:r>
      <w:r>
        <w:rPr>
          <w:b/>
          <w:bCs/>
        </w:rPr>
        <w:t xml:space="preserve">А </w:t>
      </w:r>
      <w:r>
        <w:rPr>
          <w:b/>
          <w:bCs/>
        </w:rPr>
        <w:t xml:space="preserve">ПАМЯТИ", </w:t>
        <w:br/>
        <w:t>ПРИУРОЧЕННОЕ К ПРАЗДНОВАНИЮ ДНЯ ПОБЕДЫ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717550</wp:posOffset>
            </wp:positionH>
            <wp:positionV relativeFrom="paragraph">
              <wp:posOffset>22860</wp:posOffset>
            </wp:positionV>
            <wp:extent cx="4504690" cy="60058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600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ind w:left="283" w:right="0" w:hanging="360"/>
        <w:jc w:val="left"/>
        <w:rPr/>
      </w:pPr>
      <w:r>
        <w:rPr/>
        <w:t xml:space="preserve">Дорогие ребята, и взрослые сегодня у нас с вами очень важный и торжественный день. Вместе со всей страной мы готовимся к празднованию Дня Великой Победы над самым страшным злом на земле – над фашизмом. Многие годы назад в 1941-1945 годах шла Великая отечественная война. Война – это война это страшно, война это горе. Много людей сражалось с врагом, чтобы сегодня мы с вами жили. Память об этом мы обязаны передать вам – нашим потомкам, а вы затем передадите эту память своим детям и внукам. </w:t>
      </w:r>
    </w:p>
    <w:p>
      <w:pPr>
        <w:pStyle w:val="Normal"/>
        <w:ind w:left="0" w:right="0" w:hanging="0"/>
        <w:jc w:val="left"/>
        <w:rPr/>
      </w:pPr>
      <w:r>
        <w:rPr/>
        <w:t>По традиции 9 мая люди поздравляют друг друга с Великой Победой, и в первую очередь тех, кто участвовал в войне – ветеранов. В их честь, в честь Победы во многих городах нашей стране появляются новые традиции  – одна из них это акция "Звезда Памяти". Каждая гвоздика, которую вы сделали – это частица вашей памяти о той войне и благодарность Героям, которые подарили нам мир.</w:t>
      </w:r>
    </w:p>
    <w:p>
      <w:pPr>
        <w:pStyle w:val="Normal"/>
        <w:ind w:left="0" w:right="0" w:hanging="0"/>
        <w:jc w:val="left"/>
        <w:rPr/>
      </w:pPr>
      <w:r>
        <w:rPr/>
        <w:t>И сейчас для торжественного наполнения нашей Звезды Памяти приглашаются наши самые маленькие участники этой акции памяти. И не сморите, что они малы — сердце их велико.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/>
        <w:t>Для возложения цветов приглашаются младшая групп №2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/>
        <w:t>Пусть мирно живут на планете</w:t>
      </w:r>
    </w:p>
    <w:p>
      <w:pPr>
        <w:pStyle w:val="Normal"/>
        <w:ind w:left="0" w:right="0" w:hanging="0"/>
        <w:jc w:val="left"/>
        <w:rPr/>
      </w:pPr>
      <w:r>
        <w:rPr/>
        <w:t>Пусть дети не знают войны</w:t>
      </w:r>
    </w:p>
    <w:p>
      <w:pPr>
        <w:pStyle w:val="Normal"/>
        <w:ind w:left="0" w:right="0" w:hanging="0"/>
        <w:jc w:val="left"/>
        <w:rPr/>
      </w:pPr>
      <w:r>
        <w:rPr/>
        <w:t>Пусть яркое солнышко светит!</w:t>
      </w:r>
    </w:p>
    <w:p>
      <w:pPr>
        <w:pStyle w:val="Normal"/>
        <w:ind w:left="0" w:right="0" w:hanging="0"/>
        <w:jc w:val="left"/>
        <w:rPr/>
      </w:pPr>
      <w:r>
        <w:rPr/>
        <w:t>Мы дружной семьёй быть должны!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/>
        <w:t>Для возложения цветов приглашаются младшая групп №3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/>
        <w:t>Ёщё тогда нас не было на свете</w:t>
      </w:r>
    </w:p>
    <w:p>
      <w:pPr>
        <w:pStyle w:val="Normal"/>
        <w:ind w:left="0" w:right="0" w:hanging="0"/>
        <w:jc w:val="left"/>
        <w:rPr/>
      </w:pPr>
      <w:r>
        <w:rPr/>
        <w:t>Когда с Победой вы домой пришли</w:t>
      </w:r>
    </w:p>
    <w:p>
      <w:pPr>
        <w:pStyle w:val="Normal"/>
        <w:ind w:left="0" w:right="0" w:hanging="0"/>
        <w:jc w:val="left"/>
        <w:rPr/>
      </w:pPr>
      <w:r>
        <w:rPr/>
        <w:t>Солдаты мая, слава вам на веки</w:t>
      </w:r>
    </w:p>
    <w:p>
      <w:pPr>
        <w:pStyle w:val="Normal"/>
        <w:ind w:left="0" w:right="0" w:hanging="0"/>
        <w:jc w:val="left"/>
        <w:rPr/>
      </w:pPr>
      <w:r>
        <w:rPr/>
        <w:t>От всей земли, от всей земли</w:t>
      </w:r>
    </w:p>
    <w:p>
      <w:pPr>
        <w:pStyle w:val="Normal"/>
        <w:ind w:left="0" w:right="0" w:hanging="0"/>
        <w:jc w:val="left"/>
        <w:rPr/>
      </w:pPr>
      <w:r>
        <w:rPr/>
        <w:t>Для возложения цветов к звезде Памяти приглашаются средняя группа№5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/>
        <w:t>Погибшим быть бессменно на посту</w:t>
      </w:r>
    </w:p>
    <w:p>
      <w:pPr>
        <w:pStyle w:val="Normal"/>
        <w:ind w:left="0" w:right="0" w:hanging="0"/>
        <w:jc w:val="left"/>
        <w:rPr/>
      </w:pPr>
      <w:r>
        <w:rPr/>
        <w:t>Им жить в названьях улиц и в былинах</w:t>
      </w:r>
    </w:p>
    <w:p>
      <w:pPr>
        <w:pStyle w:val="Normal"/>
        <w:ind w:left="0" w:right="0" w:hanging="0"/>
        <w:jc w:val="left"/>
        <w:rPr/>
      </w:pPr>
      <w:r>
        <w:rPr/>
        <w:t xml:space="preserve">Их подвигов святую красоту </w:t>
      </w:r>
    </w:p>
    <w:p>
      <w:pPr>
        <w:pStyle w:val="Normal"/>
        <w:ind w:left="0" w:right="0" w:hanging="0"/>
        <w:jc w:val="left"/>
        <w:rPr/>
      </w:pPr>
      <w:r>
        <w:rPr/>
        <w:t>Отобразят художники в картинах</w:t>
      </w:r>
    </w:p>
    <w:p>
      <w:pPr>
        <w:pStyle w:val="Normal"/>
        <w:ind w:left="0" w:right="0" w:hanging="0"/>
        <w:jc w:val="left"/>
        <w:rPr/>
      </w:pPr>
      <w:r>
        <w:rPr/>
        <w:t>Живым — Героев чтить, не забывать</w:t>
      </w:r>
    </w:p>
    <w:p>
      <w:pPr>
        <w:pStyle w:val="Normal"/>
        <w:ind w:left="0" w:right="0" w:hanging="0"/>
        <w:jc w:val="left"/>
        <w:rPr/>
      </w:pPr>
      <w:r>
        <w:rPr/>
        <w:t>Их имена хранить в бессмертных списках</w:t>
      </w:r>
    </w:p>
    <w:p>
      <w:pPr>
        <w:pStyle w:val="Normal"/>
        <w:ind w:left="0" w:right="0" w:hanging="0"/>
        <w:jc w:val="left"/>
        <w:rPr/>
      </w:pPr>
      <w:r>
        <w:rPr/>
        <w:t>Об их отваге всем напоминать</w:t>
      </w:r>
    </w:p>
    <w:p>
      <w:pPr>
        <w:pStyle w:val="Normal"/>
        <w:ind w:left="0" w:right="0" w:hanging="0"/>
        <w:jc w:val="left"/>
        <w:rPr/>
      </w:pPr>
      <w:r>
        <w:rPr/>
        <w:t>И класть цветы к подножьям обелисков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>
          <w:b/>
          <w:bCs/>
        </w:rPr>
        <w:t>Торжественное возложение считать закрытым</w:t>
      </w:r>
    </w:p>
    <w:p>
      <w:pPr>
        <w:pStyle w:val="Normal"/>
        <w:ind w:left="0" w:right="0" w:hanging="0"/>
        <w:jc w:val="left"/>
        <w:rPr/>
      </w:pPr>
      <w:r>
        <w:rPr/>
      </w:r>
    </w:p>
    <w:p>
      <w:pPr>
        <w:pStyle w:val="Normal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Lucida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ind w:left="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NSimSun" w:cs="Lucida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NSimSun" w:cs="Lucida Sans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NSimSun" w:cs="Lucida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Heading3">
    <w:name w:val="Heading 3"/>
    <w:qFormat/>
    <w:rPr>
      <w:rFonts w:ascii="XO Thames" w:hAnsi="XO Thames"/>
      <w:b/>
      <w:i/>
      <w:color w:val="000000"/>
    </w:rPr>
  </w:style>
  <w:style w:type="character" w:styleId="Contents3">
    <w:name w:val="Contents 3"/>
    <w:qFormat/>
    <w:rPr/>
  </w:style>
  <w:style w:type="character" w:styleId="Heading5">
    <w:name w:val="Heading 5"/>
    <w:qFormat/>
    <w:rPr>
      <w:rFonts w:ascii="XO Thames" w:hAnsi="XO Thames"/>
      <w:b/>
      <w:color w:val="000000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/>
  </w:style>
  <w:style w:type="character" w:styleId="Contents8">
    <w:name w:val="Contents 8"/>
    <w:qFormat/>
    <w:rPr/>
  </w:style>
  <w:style w:type="character" w:styleId="Contents5">
    <w:name w:val="Contents 5"/>
    <w:qFormat/>
    <w:rPr/>
  </w:style>
  <w:style w:type="character" w:styleId="Subtitle">
    <w:name w:val="Subtitle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Toc101"/>
    <w:qFormat/>
    <w:rPr/>
  </w:style>
  <w:style w:type="character" w:styleId="Title">
    <w:name w:val="Title"/>
    <w:qFormat/>
    <w:rPr>
      <w:rFonts w:ascii="XO Thames" w:hAnsi="XO Thames"/>
      <w:b/>
      <w:sz w:val="52"/>
    </w:rPr>
  </w:style>
  <w:style w:type="character" w:styleId="Heading4">
    <w:name w:val="Heading 4"/>
    <w:qFormat/>
    <w:rPr>
      <w:rFonts w:ascii="XO Thames" w:hAnsi="XO Thames"/>
      <w:b/>
      <w:color w:val="595959"/>
      <w:sz w:val="26"/>
    </w:rPr>
  </w:style>
  <w:style w:type="character" w:styleId="Heading2">
    <w:name w:val="Heading 2"/>
    <w:qFormat/>
    <w:rPr>
      <w:rFonts w:ascii="XO Thames" w:hAnsi="XO Thames"/>
      <w:b/>
      <w:color w:val="00A0FF"/>
      <w:sz w:val="26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Toc10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b/>
      <w:color w:val="000000"/>
      <w:spacing w:val="0"/>
      <w:kern w:val="0"/>
      <w:sz w:val="52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LibreOffice/7.5.2.2$Windows_X86_64 LibreOffice_project/53bb9681a964705cf672590721dbc85eb4d0c3a2</Application>
  <AppVersion>15.0000</AppVersion>
  <Pages>2</Pages>
  <Words>295</Words>
  <Characters>1567</Characters>
  <CharactersWithSpaces>1848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2026-04-16T12:25:05Z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